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line="240" w:lineRule="auto"/>
        <w:ind w:firstLine="0" w:firstLineChars="0"/>
        <w:rPr>
          <w:rFonts w:ascii="Times New Roman" w:hAnsi="Times New Roman" w:eastAsia="黑体"/>
        </w:rPr>
      </w:pPr>
      <w:r>
        <w:rPr>
          <w:rFonts w:ascii="Times New Roman" w:hAnsi="Times New Roman" w:eastAsia="黑体"/>
        </w:rPr>
        <w:t xml:space="preserve">附件3 </w:t>
      </w:r>
    </w:p>
    <w:p>
      <w:pPr>
        <w:adjustRightInd/>
        <w:snapToGrid/>
        <w:spacing w:line="240" w:lineRule="auto"/>
        <w:ind w:firstLine="0" w:firstLineChars="0"/>
        <w:rPr>
          <w:rFonts w:ascii="Times New Roman" w:hAnsi="Times New Roman" w:eastAsia="等线"/>
          <w:sz w:val="21"/>
          <w:szCs w:val="22"/>
        </w:rPr>
      </w:pPr>
    </w:p>
    <w:p>
      <w:pPr>
        <w:adjustRightInd/>
        <w:snapToGrid/>
        <w:spacing w:line="240" w:lineRule="auto"/>
        <w:ind w:firstLine="0" w:firstLineChars="0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山东省农业科技园绩效评价指标</w:t>
      </w:r>
    </w:p>
    <w:tbl>
      <w:tblPr>
        <w:tblStyle w:val="5"/>
        <w:tblW w:w="88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1039"/>
        <w:gridCol w:w="2882"/>
        <w:gridCol w:w="898"/>
        <w:gridCol w:w="1039"/>
        <w:gridCol w:w="970"/>
        <w:gridCol w:w="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tblHeader/>
          <w:jc w:val="center"/>
        </w:trPr>
        <w:tc>
          <w:tcPr>
            <w:tcW w:w="1036" w:type="dxa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bookmarkStart w:id="0" w:name="_Hlk101361385"/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一级指标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二级指标</w:t>
            </w:r>
          </w:p>
        </w:tc>
        <w:tc>
          <w:tcPr>
            <w:tcW w:w="2882" w:type="dxa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三级指标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权重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性质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36" w:type="dxa"/>
            <w:vMerge w:val="restart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决策</w:t>
            </w:r>
          </w:p>
        </w:tc>
        <w:tc>
          <w:tcPr>
            <w:tcW w:w="1039" w:type="dxa"/>
            <w:vMerge w:val="restart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管理</w:t>
            </w: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制度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建设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131"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4"/>
              </w:rPr>
              <w:t>—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定性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专家打分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主导产业定位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05" w:leftChars="-64"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4"/>
              </w:rPr>
              <w:t>—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定性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专家打分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机构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建设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05" w:leftChars="-64" w:firstLine="0" w:firstLineChars="0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—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定性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专家打分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restart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制度与政策措施</w:t>
            </w: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规划布局及基础设施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05" w:leftChars="-64" w:firstLine="0" w:firstLineChars="0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—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定性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专家打分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当地政府和主管部门支持政策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05" w:leftChars="-64" w:firstLine="0" w:firstLineChars="0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—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定性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专家打分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restart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培育企业</w:t>
            </w: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入驻企业总数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个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涉农科技企业数量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个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高新技术企业数量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个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过程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研发投入</w:t>
            </w: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R&amp;D</w:t>
            </w:r>
            <w:r>
              <w:rPr>
                <w:rFonts w:ascii="Times New Roman" w:hAnsi="Times New Roman"/>
                <w:kern w:val="0"/>
                <w:sz w:val="24"/>
                <w:szCs w:val="20"/>
              </w:rPr>
              <w:t>经费支出占GDP的比值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Merge w:val="restart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产出</w:t>
            </w:r>
          </w:p>
        </w:tc>
        <w:tc>
          <w:tcPr>
            <w:tcW w:w="1039" w:type="dxa"/>
            <w:vMerge w:val="restart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人才/平台</w:t>
            </w: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科技特派员数量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人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省级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及以上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人才数量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人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省级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及以上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平台数量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个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restart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成果转移转化</w:t>
            </w: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科技成果推广应用数量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个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引进高水平科技成果数量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个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培育的新型研发机构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数量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个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Merge w:val="restart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效益</w:t>
            </w:r>
          </w:p>
        </w:tc>
        <w:tc>
          <w:tcPr>
            <w:tcW w:w="1039" w:type="dxa"/>
            <w:vMerge w:val="restart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经济效益</w:t>
            </w: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园区总产值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亿元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实际上缴税额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亿元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主导产业产值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亿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元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restart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组织培训</w:t>
            </w: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培训人次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人次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培训场次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场次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restart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社会效益</w:t>
            </w: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人均可支配收入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万元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就业人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员数量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人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numPr>
                <w:ilvl w:val="0"/>
                <w:numId w:val="1"/>
              </w:numPr>
              <w:adjustRightInd/>
              <w:snapToGrid/>
              <w:spacing w:line="240" w:lineRule="auto"/>
              <w:ind w:firstLine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开展产学研合作企业或高校、科研院所数量</w:t>
            </w:r>
          </w:p>
        </w:tc>
        <w:tc>
          <w:tcPr>
            <w:tcW w:w="898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个</w:t>
            </w:r>
          </w:p>
        </w:tc>
        <w:tc>
          <w:tcPr>
            <w:tcW w:w="1039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定量</w:t>
            </w:r>
          </w:p>
        </w:tc>
        <w:tc>
          <w:tcPr>
            <w:tcW w:w="970" w:type="dxa"/>
            <w:vAlign w:val="center"/>
          </w:tcPr>
          <w:p>
            <w:pPr>
              <w:adjustRightInd/>
              <w:snapToGrid/>
              <w:spacing w:line="240" w:lineRule="auto"/>
              <w:ind w:left="-2" w:leftChars="-2" w:hanging="4" w:hangingChars="2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功效系数法</w:t>
            </w:r>
          </w:p>
        </w:tc>
      </w:tr>
    </w:tbl>
    <w:p>
      <w:pPr>
        <w:ind w:firstLine="0" w:firstLineChars="0"/>
        <w:rPr>
          <w:rFonts w:ascii="Times New Roman" w:hAnsi="Times New Roman"/>
        </w:rPr>
      </w:pPr>
    </w:p>
    <w:p>
      <w:pPr>
        <w:overflowPunct w:val="0"/>
        <w:spacing w:line="580" w:lineRule="exact"/>
        <w:ind w:firstLine="616"/>
        <w:rPr>
          <w:rFonts w:ascii="Times New Roman" w:hAnsi="Times New Roman" w:eastAsia="黑体"/>
        </w:rPr>
      </w:pPr>
      <w:r>
        <w:rPr>
          <w:rFonts w:ascii="Times New Roman" w:hAnsi="Times New Roman" w:eastAsia="黑体"/>
        </w:rPr>
        <w:t>测算方法：</w:t>
      </w:r>
    </w:p>
    <w:p>
      <w:pPr>
        <w:overflowPunct w:val="0"/>
        <w:spacing w:line="580" w:lineRule="exact"/>
        <w:ind w:firstLine="618"/>
        <w:rPr>
          <w:rFonts w:ascii="Times New Roman" w:hAnsi="Times New Roman" w:eastAsia="仿宋"/>
        </w:rPr>
      </w:pPr>
      <w:r>
        <w:rPr>
          <w:rFonts w:ascii="Times New Roman" w:hAnsi="Times New Roman" w:eastAsia="仿宋"/>
          <w:b/>
        </w:rPr>
        <w:t>步骤1：</w:t>
      </w:r>
      <w:r>
        <w:rPr>
          <w:rFonts w:ascii="Times New Roman" w:hAnsi="Times New Roman" w:eastAsia="仿宋"/>
        </w:rPr>
        <w:t>功效系数法计算各指标得分</w:t>
      </w:r>
    </w:p>
    <w:p>
      <w:pPr>
        <w:overflowPunct w:val="0"/>
        <w:spacing w:after="217" w:afterLines="50" w:line="580" w:lineRule="exact"/>
        <w:ind w:firstLine="616"/>
        <w:jc w:val="left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计算公式为：</w:t>
      </w:r>
    </w:p>
    <w:p>
      <w:pPr>
        <w:ind w:firstLine="536"/>
        <w:jc w:val="center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position w:val="-30"/>
          <w:sz w:val="28"/>
          <w:szCs w:val="28"/>
        </w:rPr>
        <w:object>
          <v:shape id="_x0000_i1025" o:spt="75" type="#_x0000_t75" style="height:41.2pt;width:216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6">
            <o:LockedField>false</o:LockedField>
          </o:OLEObject>
        </w:object>
      </w:r>
    </w:p>
    <w:p>
      <w:pPr>
        <w:overflowPunct w:val="0"/>
        <w:spacing w:after="217" w:afterLines="50" w:line="580" w:lineRule="exact"/>
        <w:ind w:firstLine="616"/>
        <w:jc w:val="left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其中：</w:t>
      </w:r>
      <w:r>
        <w:rPr>
          <w:rFonts w:ascii="Times New Roman" w:hAnsi="Times New Roman" w:eastAsia="仿宋"/>
          <w:i/>
          <w:iCs/>
          <w:sz w:val="28"/>
          <w:szCs w:val="28"/>
        </w:rPr>
        <w:t>D</w:t>
      </w:r>
      <w:r>
        <w:rPr>
          <w:rFonts w:ascii="Times New Roman" w:hAnsi="Times New Roman" w:eastAsia="仿宋"/>
          <w:i/>
          <w:iCs/>
          <w:vertAlign w:val="subscript"/>
        </w:rPr>
        <w:t>i</w:t>
      </w:r>
      <w:r>
        <w:rPr>
          <w:rFonts w:ascii="Times New Roman" w:hAnsi="Times New Roman" w:eastAsia="仿宋"/>
        </w:rPr>
        <w:t>为该园区第i个指标得分，</w:t>
      </w:r>
      <w:r>
        <w:rPr>
          <w:rFonts w:ascii="Times New Roman" w:hAnsi="Times New Roman"/>
          <w:position w:val="-12"/>
        </w:rPr>
        <w:object>
          <v:shape id="_x0000_i1026" o:spt="75" type="#_x0000_t75" style="height:20.35pt;width:15.6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DSMT4" ShapeID="_x0000_i1026" DrawAspect="Content" ObjectID="_1468075726" r:id="rId8">
            <o:LockedField>false</o:LockedField>
          </o:OLEObject>
        </w:object>
      </w:r>
      <w:r>
        <w:rPr>
          <w:rFonts w:ascii="Times New Roman" w:hAnsi="Times New Roman" w:eastAsia="仿宋"/>
        </w:rPr>
        <w:t>为该园区第i个指标值，</w:t>
      </w:r>
      <w:r>
        <w:rPr>
          <w:rFonts w:ascii="Times New Roman" w:hAnsi="Times New Roman"/>
          <w:position w:val="-12"/>
        </w:rPr>
        <w:object>
          <v:shape id="_x0000_i1027" o:spt="75" type="#_x0000_t75" style="height:20.35pt;width:20.35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Equation.DSMT4" ShapeID="_x0000_i1027" DrawAspect="Content" ObjectID="_1468075727" r:id="rId10">
            <o:LockedField>false</o:LockedField>
          </o:OLEObject>
        </w:object>
      </w:r>
      <w:r>
        <w:rPr>
          <w:rFonts w:ascii="Times New Roman" w:hAnsi="Times New Roman" w:eastAsia="仿宋"/>
        </w:rPr>
        <w:t>为第i个指标该地市园区的最大值，</w:t>
      </w:r>
      <w:r>
        <w:rPr>
          <w:rFonts w:ascii="Times New Roman" w:hAnsi="Times New Roman"/>
          <w:position w:val="-12"/>
        </w:rPr>
        <w:object>
          <v:shape id="_x0000_i1028" o:spt="75" type="#_x0000_t75" style="height:20.35pt;width:20.35pt;" o:ole="t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  <o:OLEObject Type="Embed" ProgID="Equation.DSMT4" ShapeID="_x0000_i1028" DrawAspect="Content" ObjectID="_1468075728" r:id="rId12">
            <o:LockedField>false</o:LockedField>
          </o:OLEObject>
        </w:object>
      </w:r>
      <w:r>
        <w:rPr>
          <w:rFonts w:ascii="Times New Roman" w:hAnsi="Times New Roman" w:eastAsia="仿宋"/>
        </w:rPr>
        <w:t>为第i个指标该地市园区的最小值。</w:t>
      </w:r>
      <w:r>
        <w:rPr>
          <w:rFonts w:ascii="Times New Roman" w:hAnsi="Times New Roman" w:eastAsia="仿宋"/>
          <w:i/>
          <w:iCs/>
          <w:sz w:val="28"/>
          <w:szCs w:val="28"/>
        </w:rPr>
        <w:t>W</w:t>
      </w:r>
      <w:r>
        <w:rPr>
          <w:rFonts w:ascii="Times New Roman" w:hAnsi="Times New Roman" w:eastAsia="仿宋"/>
          <w:i/>
          <w:iCs/>
          <w:vertAlign w:val="subscript"/>
        </w:rPr>
        <w:t>i</w:t>
      </w:r>
      <w:r>
        <w:rPr>
          <w:rFonts w:ascii="Times New Roman" w:hAnsi="Times New Roman" w:eastAsia="仿宋"/>
        </w:rPr>
        <w:t>为第i个指标权重值。</w:t>
      </w:r>
    </w:p>
    <w:p>
      <w:pPr>
        <w:ind w:firstLine="618"/>
        <w:rPr>
          <w:rFonts w:ascii="Times New Roman" w:hAnsi="Times New Roman"/>
        </w:rPr>
      </w:pPr>
      <w:r>
        <w:rPr>
          <w:rFonts w:ascii="Times New Roman" w:hAnsi="Times New Roman" w:eastAsia="仿宋"/>
          <w:b/>
        </w:rPr>
        <w:t>步骤2：</w:t>
      </w:r>
      <w:r>
        <w:rPr>
          <w:rFonts w:ascii="Times New Roman" w:hAnsi="Times New Roman" w:eastAsia="仿宋"/>
        </w:rPr>
        <w:t>将各定量指标的功效系数法得分加上各定性指标的专家打分，得到总分。</w:t>
      </w:r>
    </w:p>
    <w:p>
      <w:pPr>
        <w:adjustRightInd/>
        <w:snapToGrid/>
        <w:spacing w:line="580" w:lineRule="exact"/>
        <w:ind w:firstLine="0" w:firstLineChars="0"/>
        <w:rPr>
          <w:rFonts w:ascii="Times New Roman" w:hAnsi="Times New Roman"/>
          <w:sz w:val="36"/>
          <w:szCs w:val="36"/>
        </w:rPr>
      </w:pP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2C6350"/>
    <w:multiLevelType w:val="multilevel"/>
    <w:tmpl w:val="672C6350"/>
    <w:lvl w:ilvl="0" w:tentative="0">
      <w:start w:val="1"/>
      <w:numFmt w:val="decimal"/>
      <w:suff w:val="nothing"/>
      <w:lvlText w:val="[%1]"/>
      <w:lvlJc w:val="left"/>
      <w:pPr>
        <w:ind w:left="420" w:hanging="420"/>
      </w:pPr>
      <w:rPr>
        <w:rFonts w:hint="eastAsia" w:ascii="仿宋_GB2312" w:eastAsia="仿宋_GB2312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8" Type="http://schemas.openxmlformats.org/officeDocument/2006/relationships/oleObject" Target="embeddings/oleObject2.bin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4.wmf"/><Relationship Id="rId12" Type="http://schemas.openxmlformats.org/officeDocument/2006/relationships/oleObject" Target="embeddings/oleObject4.bin"/><Relationship Id="rId11" Type="http://schemas.openxmlformats.org/officeDocument/2006/relationships/image" Target="media/image3.wmf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